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02B" w:rsidRPr="00EC0DB2" w:rsidRDefault="00BF702B" w:rsidP="00935FA1">
      <w:pPr>
        <w:rPr>
          <w:rFonts w:cstheme="minorHAnsi"/>
          <w:sz w:val="20"/>
          <w:szCs w:val="20"/>
        </w:rPr>
      </w:pPr>
      <w:bookmarkStart w:id="0" w:name="_GoBack"/>
      <w:bookmarkEnd w:id="0"/>
    </w:p>
    <w:p w:rsidR="009076F0" w:rsidRPr="00EC0DB2" w:rsidRDefault="009076F0" w:rsidP="00935FA1">
      <w:pPr>
        <w:rPr>
          <w:rFonts w:cstheme="minorHAnsi"/>
          <w:sz w:val="20"/>
          <w:szCs w:val="20"/>
          <w:shd w:val="clear" w:color="auto" w:fill="FFFFFF"/>
        </w:rPr>
      </w:pPr>
      <w:r w:rsidRPr="00EC0DB2">
        <w:rPr>
          <w:rFonts w:cstheme="minorHAnsi"/>
          <w:sz w:val="20"/>
          <w:szCs w:val="20"/>
          <w:shd w:val="clear" w:color="auto" w:fill="FFFFFF"/>
        </w:rPr>
        <w:t>Удобочитаемость и используемый шрифт</w:t>
      </w:r>
    </w:p>
    <w:p w:rsidR="009076F0" w:rsidRPr="00EC0DB2" w:rsidRDefault="009076F0" w:rsidP="00935FA1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i/>
          <w:sz w:val="20"/>
          <w:szCs w:val="20"/>
        </w:rPr>
      </w:pPr>
      <w:r w:rsidRPr="00EC0DB2">
        <w:rPr>
          <w:rFonts w:asciiTheme="minorHAnsi" w:hAnsiTheme="minorHAnsi" w:cstheme="minorHAnsi"/>
          <w:i/>
          <w:sz w:val="20"/>
          <w:szCs w:val="20"/>
        </w:rPr>
        <w:t>Скорость восприятия отдельных знаков и текста в целом при чтении определяет удобочитаемость шрифта.</w:t>
      </w:r>
    </w:p>
    <w:p w:rsidR="009076F0" w:rsidRPr="00EC0DB2" w:rsidRDefault="009076F0" w:rsidP="00935FA1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i/>
          <w:sz w:val="20"/>
          <w:szCs w:val="20"/>
        </w:rPr>
      </w:pPr>
      <w:r w:rsidRPr="00EC0DB2">
        <w:rPr>
          <w:rFonts w:asciiTheme="minorHAnsi" w:hAnsiTheme="minorHAnsi" w:cstheme="minorHAnsi"/>
          <w:i/>
          <w:sz w:val="20"/>
          <w:szCs w:val="20"/>
        </w:rPr>
        <w:t>Удобочитаемость зависит практически от всех параметров шрифта: гарнитуры, кегля и начертания; от параметров набора: формата строк и интерлиньяжа; а также от квалификации читателя.</w:t>
      </w:r>
    </w:p>
    <w:p w:rsidR="009076F0" w:rsidRPr="00EC0DB2" w:rsidRDefault="009076F0" w:rsidP="00935FA1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i/>
          <w:sz w:val="20"/>
          <w:szCs w:val="20"/>
        </w:rPr>
      </w:pPr>
      <w:r w:rsidRPr="00EC0DB2">
        <w:rPr>
          <w:rFonts w:asciiTheme="minorHAnsi" w:hAnsiTheme="minorHAnsi" w:cstheme="minorHAnsi"/>
          <w:i/>
          <w:sz w:val="20"/>
          <w:szCs w:val="20"/>
        </w:rPr>
        <w:t xml:space="preserve">Например, текст, набранный шрифтом крупного кегля Рубленой и Обыкновенной гарнитур, при побуквенном и </w:t>
      </w:r>
      <w:proofErr w:type="spellStart"/>
      <w:r w:rsidRPr="00EC0DB2">
        <w:rPr>
          <w:rFonts w:asciiTheme="minorHAnsi" w:hAnsiTheme="minorHAnsi" w:cstheme="minorHAnsi"/>
          <w:i/>
          <w:sz w:val="20"/>
          <w:szCs w:val="20"/>
        </w:rPr>
        <w:t>послоговом</w:t>
      </w:r>
      <w:proofErr w:type="spellEnd"/>
      <w:r w:rsidRPr="00EC0DB2">
        <w:rPr>
          <w:rFonts w:asciiTheme="minorHAnsi" w:hAnsiTheme="minorHAnsi" w:cstheme="minorHAnsi"/>
          <w:i/>
          <w:sz w:val="20"/>
          <w:szCs w:val="20"/>
        </w:rPr>
        <w:t xml:space="preserve"> чтении будет обладать высокой удобочитаемостью, однако при пословном чтении и уменьшении кегля шрифта удобочитаемость этих гарнитур снижается из-за сходства начертания ряда букв (с, е; з, в; н, и, к).</w:t>
      </w:r>
    </w:p>
    <w:p w:rsidR="009076F0" w:rsidRPr="00EC0DB2" w:rsidRDefault="009076F0" w:rsidP="00935FA1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i/>
          <w:sz w:val="20"/>
          <w:szCs w:val="20"/>
        </w:rPr>
      </w:pPr>
      <w:r w:rsidRPr="00EC0DB2">
        <w:rPr>
          <w:rFonts w:asciiTheme="minorHAnsi" w:hAnsiTheme="minorHAnsi" w:cstheme="minorHAnsi"/>
          <w:i/>
          <w:sz w:val="20"/>
          <w:szCs w:val="20"/>
        </w:rPr>
        <w:t xml:space="preserve">Шрифт же литературной гарнитуры обладает хорошей удобочитаемостью во всех кеглях. Для подготовленного читателя лучшей удобочитаемостью характеризуется шрифт прямого нормального светлого начертания, гарнитур: </w:t>
      </w:r>
      <w:proofErr w:type="spellStart"/>
      <w:r w:rsidRPr="00EC0DB2">
        <w:rPr>
          <w:rFonts w:asciiTheme="minorHAnsi" w:hAnsiTheme="minorHAnsi" w:cstheme="minorHAnsi"/>
          <w:i/>
          <w:sz w:val="20"/>
          <w:szCs w:val="20"/>
        </w:rPr>
        <w:t>Банниковской</w:t>
      </w:r>
      <w:proofErr w:type="spellEnd"/>
      <w:r w:rsidRPr="00EC0DB2">
        <w:rPr>
          <w:rFonts w:asciiTheme="minorHAnsi" w:hAnsiTheme="minorHAnsi" w:cstheme="minorHAnsi"/>
          <w:i/>
          <w:sz w:val="20"/>
          <w:szCs w:val="20"/>
        </w:rPr>
        <w:t>, Новой газетной, Журнальной и Школьной.</w:t>
      </w:r>
    </w:p>
    <w:p w:rsidR="009076F0" w:rsidRPr="00EC0DB2" w:rsidRDefault="009076F0" w:rsidP="00935FA1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i/>
          <w:sz w:val="20"/>
          <w:szCs w:val="20"/>
        </w:rPr>
      </w:pPr>
      <w:r w:rsidRPr="00EC0DB2">
        <w:rPr>
          <w:rFonts w:asciiTheme="minorHAnsi" w:hAnsiTheme="minorHAnsi" w:cstheme="minorHAnsi"/>
          <w:i/>
          <w:sz w:val="20"/>
          <w:szCs w:val="20"/>
        </w:rPr>
        <w:t xml:space="preserve">Использование шрифта большого кегля и большой ширины улучшает удобочитаемость, поэтому нежелательно с целью увеличения ёмкости набора увлекаться уменьшением ширины литер. Шрифты с более широким очком одного и того же кегля имеют лучшую удобочитаемость, </w:t>
      </w:r>
      <w:proofErr w:type="gramStart"/>
      <w:r w:rsidRPr="00EC0DB2">
        <w:rPr>
          <w:rFonts w:asciiTheme="minorHAnsi" w:hAnsiTheme="minorHAnsi" w:cstheme="minorHAnsi"/>
          <w:i/>
          <w:sz w:val="20"/>
          <w:szCs w:val="20"/>
        </w:rPr>
        <w:t>например</w:t>
      </w:r>
      <w:proofErr w:type="gramEnd"/>
      <w:r w:rsidRPr="00EC0DB2">
        <w:rPr>
          <w:rFonts w:asciiTheme="minorHAnsi" w:hAnsiTheme="minorHAnsi" w:cstheme="minorHAnsi"/>
          <w:i/>
          <w:sz w:val="20"/>
          <w:szCs w:val="20"/>
        </w:rPr>
        <w:t xml:space="preserve"> шрифт </w:t>
      </w:r>
      <w:proofErr w:type="spellStart"/>
      <w:r w:rsidRPr="00EC0DB2">
        <w:rPr>
          <w:rFonts w:asciiTheme="minorHAnsi" w:hAnsiTheme="minorHAnsi" w:cstheme="minorHAnsi"/>
          <w:i/>
          <w:sz w:val="20"/>
          <w:szCs w:val="20"/>
        </w:rPr>
        <w:t>Кудряшевской</w:t>
      </w:r>
      <w:proofErr w:type="spellEnd"/>
      <w:r w:rsidRPr="00EC0DB2">
        <w:rPr>
          <w:rFonts w:asciiTheme="minorHAnsi" w:hAnsiTheme="minorHAnsi" w:cstheme="minorHAnsi"/>
          <w:i/>
          <w:sz w:val="20"/>
          <w:szCs w:val="20"/>
        </w:rPr>
        <w:t xml:space="preserve"> словарной гарнитуры (разработанный специально для издания БСЭ) кг. 8 п., обладает примерно такой же удобочитаемостью как шрифт Академической гарнитуры кг. 10 п.</w:t>
      </w:r>
    </w:p>
    <w:p w:rsidR="009076F0" w:rsidRPr="00EC0DB2" w:rsidRDefault="009076F0" w:rsidP="00935FA1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i/>
          <w:sz w:val="20"/>
          <w:szCs w:val="20"/>
        </w:rPr>
      </w:pPr>
      <w:r w:rsidRPr="00EC0DB2">
        <w:rPr>
          <w:rFonts w:asciiTheme="minorHAnsi" w:hAnsiTheme="minorHAnsi" w:cstheme="minorHAnsi"/>
          <w:i/>
          <w:sz w:val="20"/>
          <w:szCs w:val="20"/>
        </w:rPr>
        <w:t>Соотношение ширины и высоты очка букв также влияет на удобочитаемость. Оптимальное соотношение 3/4.</w:t>
      </w:r>
    </w:p>
    <w:p w:rsidR="009076F0" w:rsidRPr="00EC0DB2" w:rsidRDefault="009076F0" w:rsidP="00935FA1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i/>
          <w:sz w:val="20"/>
          <w:szCs w:val="20"/>
        </w:rPr>
      </w:pPr>
      <w:r w:rsidRPr="00EC0DB2">
        <w:rPr>
          <w:rFonts w:asciiTheme="minorHAnsi" w:hAnsiTheme="minorHAnsi" w:cstheme="minorHAnsi"/>
          <w:i/>
          <w:sz w:val="20"/>
          <w:szCs w:val="20"/>
        </w:rPr>
        <w:t>Увеличение интерлиньяжа улучшает удобочитаемость, но уменьшает ёмкость полосы набора (то есть число знаков на полосе).</w:t>
      </w:r>
    </w:p>
    <w:p w:rsidR="009076F0" w:rsidRPr="00EC0DB2" w:rsidRDefault="009076F0" w:rsidP="00935FA1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i/>
          <w:sz w:val="20"/>
          <w:szCs w:val="20"/>
        </w:rPr>
      </w:pPr>
      <w:r w:rsidRPr="00EC0DB2">
        <w:rPr>
          <w:rFonts w:asciiTheme="minorHAnsi" w:hAnsiTheme="minorHAnsi" w:cstheme="minorHAnsi"/>
          <w:i/>
          <w:sz w:val="20"/>
          <w:szCs w:val="20"/>
        </w:rPr>
        <w:t xml:space="preserve">Размер </w:t>
      </w:r>
      <w:proofErr w:type="spellStart"/>
      <w:r w:rsidRPr="00EC0DB2">
        <w:rPr>
          <w:rFonts w:asciiTheme="minorHAnsi" w:hAnsiTheme="minorHAnsi" w:cstheme="minorHAnsi"/>
          <w:i/>
          <w:sz w:val="20"/>
          <w:szCs w:val="20"/>
        </w:rPr>
        <w:t>междусловных</w:t>
      </w:r>
      <w:proofErr w:type="spellEnd"/>
      <w:r w:rsidRPr="00EC0DB2">
        <w:rPr>
          <w:rFonts w:asciiTheme="minorHAnsi" w:hAnsiTheme="minorHAnsi" w:cstheme="minorHAnsi"/>
          <w:i/>
          <w:sz w:val="20"/>
          <w:szCs w:val="20"/>
        </w:rPr>
        <w:t xml:space="preserve"> пробелов также влияет на удобочитаемость, рекомендуемая величина </w:t>
      </w:r>
      <w:proofErr w:type="spellStart"/>
      <w:r w:rsidRPr="00EC0DB2">
        <w:rPr>
          <w:rFonts w:asciiTheme="minorHAnsi" w:hAnsiTheme="minorHAnsi" w:cstheme="minorHAnsi"/>
          <w:i/>
          <w:sz w:val="20"/>
          <w:szCs w:val="20"/>
        </w:rPr>
        <w:t>междусловного</w:t>
      </w:r>
      <w:proofErr w:type="spellEnd"/>
      <w:r w:rsidRPr="00EC0DB2">
        <w:rPr>
          <w:rFonts w:asciiTheme="minorHAnsi" w:hAnsiTheme="minorHAnsi" w:cstheme="minorHAnsi"/>
          <w:i/>
          <w:sz w:val="20"/>
          <w:szCs w:val="20"/>
        </w:rPr>
        <w:t xml:space="preserve"> пробела от 1/2 до 3/4 кегля шрифта. На удобочитаемость влияет также соотношение кегля шрифта и формата строк. Например, при наборе текста шрифтом кг. 16 п. наиболее удобочитаема строка форматом от 7,5 кв. и более; при наборе текста шрифтом кг. 10 п. удобнее читать строку форматом 4—6,5 кв., а при наборе кг. 8 п. — 3—4 кв. Поэтому в газете форматы строк наименьшие, а в книгах для детей, набранных крупным шрифтом, наибольшие.</w:t>
      </w:r>
    </w:p>
    <w:p w:rsidR="009076F0" w:rsidRPr="00EC0DB2" w:rsidRDefault="009076F0" w:rsidP="00935FA1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i/>
          <w:sz w:val="20"/>
          <w:szCs w:val="20"/>
        </w:rPr>
      </w:pPr>
      <w:r w:rsidRPr="00EC0DB2">
        <w:rPr>
          <w:rFonts w:asciiTheme="minorHAnsi" w:hAnsiTheme="minorHAnsi" w:cstheme="minorHAnsi"/>
          <w:i/>
          <w:sz w:val="20"/>
          <w:szCs w:val="20"/>
        </w:rPr>
        <w:t xml:space="preserve">Для проверки удобочитаемости шрифта используются </w:t>
      </w:r>
      <w:proofErr w:type="spellStart"/>
      <w:r w:rsidRPr="00EC0DB2">
        <w:rPr>
          <w:rFonts w:asciiTheme="minorHAnsi" w:hAnsiTheme="minorHAnsi" w:cstheme="minorHAnsi"/>
          <w:i/>
          <w:sz w:val="20"/>
          <w:szCs w:val="20"/>
        </w:rPr>
        <w:t>панграммы</w:t>
      </w:r>
      <w:proofErr w:type="spellEnd"/>
      <w:r w:rsidRPr="00EC0DB2">
        <w:rPr>
          <w:rFonts w:asciiTheme="minorHAnsi" w:hAnsiTheme="minorHAnsi" w:cstheme="minorHAnsi"/>
          <w:i/>
          <w:sz w:val="20"/>
          <w:szCs w:val="20"/>
        </w:rPr>
        <w:t>.</w:t>
      </w:r>
    </w:p>
    <w:p w:rsidR="009076F0" w:rsidRPr="00EC0DB2" w:rsidRDefault="009076F0" w:rsidP="00935FA1">
      <w:pPr>
        <w:rPr>
          <w:rFonts w:cstheme="minorHAnsi"/>
          <w:i/>
          <w:sz w:val="20"/>
          <w:szCs w:val="20"/>
        </w:rPr>
      </w:pPr>
    </w:p>
    <w:sectPr w:rsidR="009076F0" w:rsidRPr="00EC0DB2" w:rsidSect="001B154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F0F32"/>
    <w:multiLevelType w:val="multilevel"/>
    <w:tmpl w:val="271CA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B81"/>
    <w:rsid w:val="000C2003"/>
    <w:rsid w:val="001B1548"/>
    <w:rsid w:val="001B5B81"/>
    <w:rsid w:val="00243F8E"/>
    <w:rsid w:val="0026610F"/>
    <w:rsid w:val="002967B2"/>
    <w:rsid w:val="00393FF3"/>
    <w:rsid w:val="003E2F64"/>
    <w:rsid w:val="00404E10"/>
    <w:rsid w:val="00654714"/>
    <w:rsid w:val="0074192D"/>
    <w:rsid w:val="008A6035"/>
    <w:rsid w:val="009076F0"/>
    <w:rsid w:val="00935FA1"/>
    <w:rsid w:val="00A02B62"/>
    <w:rsid w:val="00BF702B"/>
    <w:rsid w:val="00C01F43"/>
    <w:rsid w:val="00C93F4B"/>
    <w:rsid w:val="00EB6A7A"/>
    <w:rsid w:val="00EC0DB2"/>
    <w:rsid w:val="00FD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07E8"/>
  <w15:chartTrackingRefBased/>
  <w15:docId w15:val="{BCB174A2-FB14-4781-ADE0-EEBE27CF5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6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D68F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96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2967B2"/>
  </w:style>
  <w:style w:type="character" w:customStyle="1" w:styleId="mw-editsection">
    <w:name w:val="mw-editsection"/>
    <w:basedOn w:val="a0"/>
    <w:rsid w:val="002967B2"/>
  </w:style>
  <w:style w:type="character" w:customStyle="1" w:styleId="mw-editsection-bracket">
    <w:name w:val="mw-editsection-bracket"/>
    <w:basedOn w:val="a0"/>
    <w:rsid w:val="002967B2"/>
  </w:style>
  <w:style w:type="character" w:customStyle="1" w:styleId="mw-editsection-divider">
    <w:name w:val="mw-editsection-divider"/>
    <w:basedOn w:val="a0"/>
    <w:rsid w:val="00296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2021-09-09T06:26:00Z</cp:lastPrinted>
  <dcterms:created xsi:type="dcterms:W3CDTF">2021-09-09T06:29:00Z</dcterms:created>
  <dcterms:modified xsi:type="dcterms:W3CDTF">2021-09-09T06:38:00Z</dcterms:modified>
</cp:coreProperties>
</file>